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F4898D3" w:rsidP="15A7EDA9" w:rsidRDefault="2F4898D3" w14:paraId="4D4D853D" w14:textId="7684F4E7">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April 15, 2026</w:t>
      </w:r>
    </w:p>
    <w:p w:rsidR="15A7EDA9" w:rsidP="15A7EDA9" w:rsidRDefault="15A7EDA9" w14:paraId="4CA3AA2D" w14:textId="37026D64">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15A7EDA9" w:rsidP="15A7EDA9" w:rsidRDefault="15A7EDA9" w14:paraId="60E154A4" w14:textId="0B655E50">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151AEC75" w14:textId="5FCE29F5">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Mr. Chris Scott, MPP</w:t>
      </w:r>
    </w:p>
    <w:p w:rsidR="2F4898D3" w:rsidP="15A7EDA9" w:rsidRDefault="2F4898D3" w14:paraId="2E7F2399" w14:textId="0FAB1B48">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Queen’s Park </w:t>
      </w:r>
    </w:p>
    <w:p w:rsidR="2F4898D3" w:rsidP="15A7EDA9" w:rsidRDefault="2F4898D3" w14:paraId="4811F615" w14:textId="0484388C">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Main Legislative Building, North Wing, Room N404 </w:t>
      </w:r>
    </w:p>
    <w:p w:rsidR="2F4898D3" w:rsidP="15A7EDA9" w:rsidRDefault="2F4898D3" w14:paraId="0CEA9F05" w14:textId="52E74B69">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Toronto, ON </w:t>
      </w:r>
    </w:p>
    <w:p w:rsidR="2F4898D3" w:rsidP="15A7EDA9" w:rsidRDefault="2F4898D3" w14:paraId="73B39041" w14:textId="1A11CCD7">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M7A 1A5 </w:t>
      </w:r>
    </w:p>
    <w:p w:rsidR="15A7EDA9" w:rsidP="15A7EDA9" w:rsidRDefault="15A7EDA9" w14:paraId="52967A02" w14:textId="0404ECB5">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4AF12A7D" w14:textId="5DE6AB7E">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hyperlink r:id="R556785685d5b4e19">
        <w:r w:rsidRPr="15A7EDA9" w:rsidR="2F4898D3">
          <w:rPr>
            <w:rStyle w:val="Hyperlink"/>
            <w:rFonts w:ascii="Helvetica" w:hAnsi="Helvetica" w:eastAsia="Helvetica" w:cs="Helvetica"/>
            <w:b w:val="0"/>
            <w:bCs w:val="0"/>
            <w:i w:val="0"/>
            <w:iCs w:val="0"/>
            <w:caps w:val="0"/>
            <w:smallCaps w:val="0"/>
            <w:strike w:val="0"/>
            <w:dstrike w:val="0"/>
            <w:noProof w:val="0"/>
            <w:sz w:val="22"/>
            <w:szCs w:val="22"/>
            <w:lang w:val="en-CA"/>
          </w:rPr>
          <w:t>cscott@ola.org</w:t>
        </w:r>
      </w:hyperlink>
      <w:r w:rsidRPr="15A7EDA9" w:rsidR="2F4898D3">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  </w:t>
      </w:r>
    </w:p>
    <w:p w:rsidR="2F4898D3" w:rsidP="15A7EDA9" w:rsidRDefault="2F4898D3" w14:paraId="255C963E" w14:textId="45C3F1D9">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Dear Mr. Scott, </w:t>
      </w:r>
    </w:p>
    <w:p w:rsidR="2F4898D3" w:rsidP="15A7EDA9" w:rsidRDefault="2F4898D3" w14:paraId="78720CD5" w14:textId="21EED6EF">
      <w:pPr>
        <w:spacing w:before="0" w:beforeAutospacing="on" w:after="0"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1"/>
          <w:bCs w:val="1"/>
          <w:i w:val="0"/>
          <w:iCs w:val="0"/>
          <w:caps w:val="0"/>
          <w:smallCaps w:val="0"/>
          <w:noProof w:val="0"/>
          <w:color w:val="000000" w:themeColor="text1" w:themeTint="FF" w:themeShade="FF"/>
          <w:sz w:val="22"/>
          <w:szCs w:val="22"/>
          <w:lang w:val="en-CA"/>
        </w:rPr>
        <w:t>Subject:</w:t>
      </w: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 Critical Program Funding Gap Threatens Health Access in Sault Ste. Marie </w:t>
      </w:r>
    </w:p>
    <w:p w:rsidR="2F4898D3" w:rsidP="15A7EDA9" w:rsidRDefault="2F4898D3" w14:paraId="1F4A9B15" w14:textId="2E48FAB9">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Ontario is facing an urgent and growing gap in physiotherapy funding that will impact patients’ access to health services and further burden already-strained primary, acute, and long-term care resources in Sault Ste. Marie. </w:t>
      </w:r>
    </w:p>
    <w:p w:rsidR="2F4898D3" w:rsidP="15A7EDA9" w:rsidRDefault="2F4898D3" w14:paraId="14A2CD66" w14:textId="6CEE83BA">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eop"/>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We have received notice that there is no increase in CPC Program funding and no increase in referral volume. This is a move in the wrong direction and contrary to the mandate of the Ford government. </w:t>
      </w:r>
    </w:p>
    <w:p w:rsidR="2F4898D3" w:rsidP="15A7EDA9" w:rsidRDefault="2F4898D3" w14:paraId="4266835A" w14:textId="7F51CFE1">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eop"/>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Since 2013, the seniors’ population in Ontario has grown by more than 940,000. The referral volume has only increased by 17,000. Seniors are being denied the access to care that they need. </w:t>
      </w:r>
    </w:p>
    <w:p w:rsidR="2F4898D3" w:rsidP="15A7EDA9" w:rsidRDefault="2F4898D3" w14:paraId="21B6BDE4" w14:textId="03ADD657">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eop"/>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Since 2013, the referral funding has increased 6% while the cost of providing care has grown by more than 40%.  </w:t>
      </w:r>
    </w:p>
    <w:p w:rsidR="2F4898D3" w:rsidP="15A7EDA9" w:rsidRDefault="2F4898D3" w14:paraId="7B163E0C" w14:textId="64BC405F">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eop"/>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Community clinics cannot afford to subsidize government programs. Especially when their value to the health system is well established. </w:t>
      </w:r>
    </w:p>
    <w:p w:rsidR="2F4898D3" w:rsidP="15A7EDA9" w:rsidRDefault="2F4898D3" w14:paraId="562CF82A" w14:textId="6B00450C">
      <w:pPr>
        <w:pStyle w:val="ListParagraph"/>
        <w:numPr>
          <w:ilvl w:val="0"/>
          <w:numId w:val="6"/>
        </w:num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Ontario’s Community Physiotherapy Clinic (CPC) Program was established in 2013 to help Ontarians quickly access physiotherapy without a doctor’s referral.  It has saved more than $2.2 billion in avoidable emergency department admissions, diagnostic tests, physician consultations, and surgeries.</w:t>
      </w:r>
    </w:p>
    <w:p w:rsidR="15A7EDA9" w:rsidP="15A7EDA9" w:rsidRDefault="15A7EDA9" w14:paraId="688AF25E" w14:textId="19148C6F">
      <w:pPr>
        <w:spacing w:before="0" w:beforeAutospacing="off" w:after="0" w:afterAutospacing="off"/>
        <w:ind w:left="720"/>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4398720E" w14:textId="70C7CCE9">
      <w:pPr>
        <w:pStyle w:val="ListParagraph"/>
        <w:numPr>
          <w:ilvl w:val="0"/>
          <w:numId w:val="6"/>
        </w:num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More than 80% of CPC Program benefactors are seniors—the most vulnerable members of our community.  </w:t>
      </w:r>
    </w:p>
    <w:p w:rsidR="15A7EDA9" w:rsidP="15A7EDA9" w:rsidRDefault="15A7EDA9" w14:paraId="3FF2DD34" w14:textId="2936D7F8">
      <w:pPr>
        <w:spacing w:before="0" w:beforeAutospacing="off" w:after="0" w:afterAutospacing="off"/>
        <w:ind w:left="720"/>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2A3A2730" w14:textId="3134F7FF">
      <w:pPr>
        <w:pStyle w:val="ListParagraph"/>
        <w:numPr>
          <w:ilvl w:val="0"/>
          <w:numId w:val="6"/>
        </w:num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Since its inception, funding has risen less than $20 per referral for </w:t>
      </w:r>
      <w:r w:rsidRPr="15A7EDA9" w:rsidR="2F4898D3">
        <w:rPr>
          <w:rStyle w:val="normaltextrun"/>
          <w:rFonts w:ascii="Helvetica" w:hAnsi="Helvetica" w:eastAsia="Helvetica" w:cs="Helvetica"/>
          <w:b w:val="0"/>
          <w:bCs w:val="0"/>
          <w:i w:val="0"/>
          <w:iCs w:val="0"/>
          <w:caps w:val="0"/>
          <w:smallCaps w:val="0"/>
          <w:strike w:val="0"/>
          <w:dstrike w:val="0"/>
          <w:noProof w:val="0"/>
          <w:color w:val="000000" w:themeColor="text1" w:themeTint="FF" w:themeShade="FF"/>
          <w:sz w:val="22"/>
          <w:szCs w:val="22"/>
          <w:u w:val="single"/>
          <w:lang w:val="en-CA"/>
        </w:rPr>
        <w:t>an unlimited number of treatments</w:t>
      </w: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 Meanwhile, physiotherapists’ expenses have risen more than 40 percent.  </w:t>
      </w:r>
    </w:p>
    <w:p w:rsidR="15A7EDA9" w:rsidP="15A7EDA9" w:rsidRDefault="15A7EDA9" w14:paraId="5C83F33A" w14:textId="7130F23B">
      <w:pPr>
        <w:spacing w:before="0" w:beforeAutospacing="off" w:after="0" w:afterAutospacing="off"/>
        <w:ind w:left="720"/>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1C5C394C" w14:textId="6930F3C8">
      <w:pPr>
        <w:pStyle w:val="ListParagraph"/>
        <w:numPr>
          <w:ilvl w:val="0"/>
          <w:numId w:val="6"/>
        </w:num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Physiotherapy clinics can only provide this service by incurring substantial losses, and have to consider withdrawing from the Program.  Any clinic closure or loss of service will add pressure to already vulnerable resources throughout the region. </w:t>
      </w:r>
    </w:p>
    <w:p w:rsidR="15A7EDA9" w:rsidP="15A7EDA9" w:rsidRDefault="15A7EDA9" w14:paraId="3D64595B" w14:textId="3D60C2D8">
      <w:pPr>
        <w:ind w:left="720"/>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F4898D3" w:rsidP="15A7EDA9" w:rsidRDefault="2F4898D3" w14:paraId="7D7CC5B9" w14:textId="66D11C11">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Physiotherapy is essential to health care—it is vital to recovery and rehabilitation, to mobility, to prevention and overall in the support of physical health.  </w:t>
      </w:r>
    </w:p>
    <w:p w:rsidR="2F4898D3" w:rsidP="15A7EDA9" w:rsidRDefault="2F4898D3" w14:paraId="232649CA" w14:textId="5BA06509">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It is also fundamental in primary care. Its access prevents avoidable hospital admissions. Our analysis estimates the CPC Program successfully reduces more than 70,000 visits to emergency departments </w:t>
      </w:r>
      <w:r w:rsidRPr="15A7EDA9" w:rsidR="2F4898D3">
        <w:rPr>
          <w:rStyle w:val="normaltextrun"/>
          <w:rFonts w:ascii="Helvetica" w:hAnsi="Helvetica" w:eastAsia="Helvetica" w:cs="Helvetica"/>
          <w:b w:val="1"/>
          <w:bCs w:val="1"/>
          <w:i w:val="1"/>
          <w:iCs w:val="1"/>
          <w:caps w:val="0"/>
          <w:smallCaps w:val="0"/>
          <w:noProof w:val="0"/>
          <w:color w:val="000000" w:themeColor="text1" w:themeTint="FF" w:themeShade="FF"/>
          <w:sz w:val="22"/>
          <w:szCs w:val="22"/>
          <w:lang w:val="en-CA"/>
        </w:rPr>
        <w:t>annually</w:t>
      </w: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 saving the people of Ontario more than $175 million per year.   </w:t>
      </w:r>
    </w:p>
    <w:p w:rsidR="2F4898D3" w:rsidP="15A7EDA9" w:rsidRDefault="2F4898D3" w14:paraId="4FD86E13" w14:textId="348C8EFC">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The current provincial program funds the provision of 142,0000 episodes of care with a cost of $47 million annually (~$334 for unlimited treatment). The very low level of funding for patient care is unsustainable for providers to continue to deliver service. Adding to the challenge of low funding is the increasing demand to access the CPC program for eligible patients. </w:t>
      </w:r>
    </w:p>
    <w:p w:rsidR="2F4898D3" w:rsidP="15A7EDA9" w:rsidRDefault="2F4898D3" w14:paraId="7AE62F61" w14:textId="4A6650D9">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The CPC Program is greatly benefits senior women, who are at higher risk of preventable fractures, an avoidable burden and expense to our health-system.     </w:t>
      </w:r>
    </w:p>
    <w:p w:rsidR="2F4898D3" w:rsidP="15A7EDA9" w:rsidRDefault="2F4898D3" w14:paraId="6B57B695" w14:textId="61728865">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I want to continue to provide a high standard of community-based care—our region and OHT Algoma partners cannot bear additional strain. Without increasing Program funding or referral volume, we cannot ensure participation in the CPC Program.  As a health care provider and business owner in the community this is a dire situation.   </w:t>
      </w:r>
    </w:p>
    <w:p w:rsidR="2F4898D3" w:rsidP="15A7EDA9" w:rsidRDefault="2F4898D3" w14:paraId="302E85AB" w14:textId="597CE869">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I urge you to raise this issue in the Legislature with the immediate attention your community needs. </w:t>
      </w:r>
    </w:p>
    <w:p w:rsidR="2F4898D3" w:rsidP="15A7EDA9" w:rsidRDefault="2F4898D3" w14:paraId="01750FCF" w14:textId="59834EB0">
      <w:pPr>
        <w:spacing w:before="0" w:beforeAutospacing="on" w:after="0" w:afterAutospacing="on"/>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Sincerely, </w:t>
      </w:r>
      <w:r>
        <w:br/>
      </w:r>
      <w:r w:rsidRPr="15A7EDA9" w:rsidR="2F4898D3">
        <w:rPr>
          <w:rStyle w:val="normaltextrun"/>
          <w:rFonts w:ascii="Helvetica" w:hAnsi="Helvetica" w:eastAsia="Helvetica" w:cs="Helvetica"/>
          <w:b w:val="0"/>
          <w:bCs w:val="0"/>
          <w:i w:val="0"/>
          <w:iCs w:val="0"/>
          <w:caps w:val="0"/>
          <w:smallCaps w:val="0"/>
          <w:noProof w:val="0"/>
          <w:color w:val="000000" w:themeColor="text1" w:themeTint="FF" w:themeShade="FF"/>
          <w:sz w:val="22"/>
          <w:szCs w:val="22"/>
          <w:lang w:val="en-CA"/>
        </w:rPr>
        <w:t>[Your Name] </w:t>
      </w: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748b20d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Helvetica" w:hAnsi="Helvetic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4962604"/>
    <w:multiLevelType w:val="hybridMultilevel"/>
    <w:tmpl w:val="3F7E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82C0D"/>
    <w:multiLevelType w:val="multilevel"/>
    <w:tmpl w:val="497EC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113038"/>
    <w:multiLevelType w:val="multilevel"/>
    <w:tmpl w:val="12E0A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F6370A"/>
    <w:multiLevelType w:val="multilevel"/>
    <w:tmpl w:val="6F00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53B90"/>
    <w:multiLevelType w:val="multilevel"/>
    <w:tmpl w:val="947E4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6">
    <w:abstractNumId w:val="5"/>
  </w:num>
  <w:num w:numId="1" w16cid:durableId="1281759928">
    <w:abstractNumId w:val="3"/>
  </w:num>
  <w:num w:numId="2" w16cid:durableId="337198018">
    <w:abstractNumId w:val="2"/>
  </w:num>
  <w:num w:numId="3" w16cid:durableId="988706372">
    <w:abstractNumId w:val="1"/>
  </w:num>
  <w:num w:numId="4" w16cid:durableId="1964726299">
    <w:abstractNumId w:val="4"/>
  </w:num>
  <w:num w:numId="5" w16cid:durableId="98659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13"/>
    <w:rsid w:val="0013342B"/>
    <w:rsid w:val="002040DB"/>
    <w:rsid w:val="00515E64"/>
    <w:rsid w:val="00596013"/>
    <w:rsid w:val="005A606A"/>
    <w:rsid w:val="005C449B"/>
    <w:rsid w:val="00D1551F"/>
    <w:rsid w:val="00D22CF5"/>
    <w:rsid w:val="00DE3B95"/>
    <w:rsid w:val="00F1340A"/>
    <w:rsid w:val="15A7EDA9"/>
    <w:rsid w:val="19E5BFBC"/>
    <w:rsid w:val="214E81DB"/>
    <w:rsid w:val="2B72D93F"/>
    <w:rsid w:val="2F4898D3"/>
    <w:rsid w:val="490BBF33"/>
    <w:rsid w:val="5A2B0010"/>
    <w:rsid w:val="6DFDD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F285A6"/>
  <w15:chartTrackingRefBased/>
  <w15:docId w15:val="{EE108F42-C96F-E74D-A806-68E58031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60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0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01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01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01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01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01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01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01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60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60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601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601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601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601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601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601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601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9601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60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601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601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01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96013"/>
    <w:rPr>
      <w:i/>
      <w:iCs/>
      <w:color w:val="404040" w:themeColor="text1" w:themeTint="BF"/>
    </w:rPr>
  </w:style>
  <w:style w:type="paragraph" w:styleId="ListParagraph">
    <w:name w:val="List Paragraph"/>
    <w:basedOn w:val="Normal"/>
    <w:uiPriority w:val="34"/>
    <w:qFormat/>
    <w:rsid w:val="00596013"/>
    <w:pPr>
      <w:ind w:left="720"/>
      <w:contextualSpacing/>
    </w:pPr>
  </w:style>
  <w:style w:type="character" w:styleId="IntenseEmphasis">
    <w:name w:val="Intense Emphasis"/>
    <w:basedOn w:val="DefaultParagraphFont"/>
    <w:uiPriority w:val="21"/>
    <w:qFormat/>
    <w:rsid w:val="00596013"/>
    <w:rPr>
      <w:i/>
      <w:iCs/>
      <w:color w:val="0F4761" w:themeColor="accent1" w:themeShade="BF"/>
    </w:rPr>
  </w:style>
  <w:style w:type="paragraph" w:styleId="IntenseQuote">
    <w:name w:val="Intense Quote"/>
    <w:basedOn w:val="Normal"/>
    <w:next w:val="Normal"/>
    <w:link w:val="IntenseQuoteChar"/>
    <w:uiPriority w:val="30"/>
    <w:qFormat/>
    <w:rsid w:val="00596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6013"/>
    <w:rPr>
      <w:i/>
      <w:iCs/>
      <w:color w:val="0F4761" w:themeColor="accent1" w:themeShade="BF"/>
    </w:rPr>
  </w:style>
  <w:style w:type="character" w:styleId="IntenseReference">
    <w:name w:val="Intense Reference"/>
    <w:basedOn w:val="DefaultParagraphFont"/>
    <w:uiPriority w:val="32"/>
    <w:qFormat/>
    <w:rsid w:val="00596013"/>
    <w:rPr>
      <w:b/>
      <w:bCs/>
      <w:smallCaps/>
      <w:color w:val="0F4761" w:themeColor="accent1" w:themeShade="BF"/>
      <w:spacing w:val="5"/>
    </w:rPr>
  </w:style>
  <w:style w:type="paragraph" w:styleId="paragraph" w:customStyle="1">
    <w:name w:val="paragraph"/>
    <w:basedOn w:val="Normal"/>
    <w:rsid w:val="00596013"/>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596013"/>
  </w:style>
  <w:style w:type="character" w:styleId="eop" w:customStyle="1">
    <w:name w:val="eop"/>
    <w:basedOn w:val="DefaultParagraphFont"/>
    <w:rsid w:val="00596013"/>
  </w:style>
  <w:style w:type="character" w:styleId="apple-converted-space" w:customStyle="1">
    <w:name w:val="apple-converted-space"/>
    <w:basedOn w:val="DefaultParagraphFont"/>
    <w:rsid w:val="00596013"/>
  </w:style>
  <w:style w:type="character" w:styleId="scxw65671641" w:customStyle="1">
    <w:name w:val="scxw65671641"/>
    <w:basedOn w:val="DefaultParagraphFont"/>
    <w:rsid w:val="00596013"/>
  </w:style>
  <w:style w:type="character" w:styleId="Hyperlink">
    <w:name w:val="Hyperlink"/>
    <w:basedOn w:val="DefaultParagraphFont"/>
    <w:uiPriority w:val="99"/>
    <w:unhideWhenUsed/>
    <w:rsid w:val="00596013"/>
    <w:rPr>
      <w:color w:val="467886" w:themeColor="hyperlink"/>
      <w:u w:val="single"/>
    </w:rPr>
  </w:style>
  <w:style w:type="character" w:styleId="UnresolvedMention">
    <w:name w:val="Unresolved Mention"/>
    <w:basedOn w:val="DefaultParagraphFont"/>
    <w:uiPriority w:val="99"/>
    <w:semiHidden/>
    <w:unhideWhenUsed/>
    <w:rsid w:val="00596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cscott@ola.org" TargetMode="External" Id="R556785685d5b4e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67CB73F6-2992-4ACA-8BE2-D8CA66FCF8C4}"/>
</file>

<file path=customXml/itemProps2.xml><?xml version="1.0" encoding="utf-8"?>
<ds:datastoreItem xmlns:ds="http://schemas.openxmlformats.org/officeDocument/2006/customXml" ds:itemID="{4AAC57D2-1C88-4932-972C-FE9EA35D65F8}"/>
</file>

<file path=customXml/itemProps3.xml><?xml version="1.0" encoding="utf-8"?>
<ds:datastoreItem xmlns:ds="http://schemas.openxmlformats.org/officeDocument/2006/customXml" ds:itemID="{46084676-A35F-4E49-8428-6CBB405E85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7</revision>
  <dcterms:created xsi:type="dcterms:W3CDTF">2026-04-07T02:16:00.0000000Z</dcterms:created>
  <dcterms:modified xsi:type="dcterms:W3CDTF">2026-04-14T20:53:56.5893427Z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